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BB3B1D5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</w:t>
      </w:r>
      <w:r w:rsidRPr="00782929">
        <w:rPr>
          <w:rFonts w:cs="Arial"/>
          <w:sz w:val="18"/>
          <w:szCs w:val="18"/>
        </w:rPr>
        <w:lastRenderedPageBreak/>
        <w:t xml:space="preserve">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1152411B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</w:t>
      </w:r>
      <w:r w:rsidR="00D1296A" w:rsidRPr="008B7815">
        <w:rPr>
          <w:rFonts w:cs="Arial"/>
        </w:rPr>
        <w:t xml:space="preserve">a </w:t>
      </w:r>
      <w:r w:rsidR="00D1296A" w:rsidRPr="001726D8">
        <w:rPr>
          <w:rFonts w:ascii="Arial" w:hAnsi="Arial" w:cs="Arial"/>
          <w:sz w:val="18"/>
          <w:szCs w:val="18"/>
          <w:lang w:val="hu-HU"/>
        </w:rPr>
        <w:t>p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gyi int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zm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ny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teles a szerz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ő</w:t>
      </w:r>
      <w:r w:rsidR="00D1296A" w:rsidRPr="001726D8">
        <w:rPr>
          <w:rFonts w:ascii="Arial" w:hAnsi="Arial" w:cs="Arial"/>
          <w:sz w:val="18"/>
          <w:szCs w:val="18"/>
          <w:lang w:val="hu-HU"/>
        </w:rPr>
        <w:t>d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sben meghat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rozni a biztos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tott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vetel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s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rul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kok n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li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sszeget, amelynek erej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ig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logjogosult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rgyb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ó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 kiel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st kereshet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Üzletszabályzat VII.2. pontja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56C0185C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engedményezési szerződés hatálybalépésével, amennyiben 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54B665A6" w14:textId="61B4C470" w:rsidR="008E03EF" w:rsidRDefault="0090416C" w:rsidP="008D6DF3">
      <w:pPr>
        <w:numPr>
          <w:ilvl w:val="1"/>
          <w:numId w:val="14"/>
        </w:numPr>
        <w:tabs>
          <w:tab w:val="left" w:pos="1134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D1296A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77777777" w:rsidR="00943D7C" w:rsidRDefault="008E03EF" w:rsidP="008D6DF3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A672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="00AA6723" w:rsidRPr="00F42CA8">
        <w:rPr>
          <w:rFonts w:ascii="Arial" w:hAnsi="Arial" w:cs="Arial"/>
          <w:sz w:val="18"/>
          <w:szCs w:val="18"/>
          <w:lang w:val="hu-HU"/>
        </w:rPr>
        <w:t xml:space="preserve"> 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számított 90 napon belül a díj első évi </w:t>
      </w:r>
      <w:r w:rsidRPr="004A76F2">
        <w:rPr>
          <w:rFonts w:ascii="Arial" w:hAnsi="Arial" w:cs="Arial"/>
          <w:sz w:val="18"/>
          <w:szCs w:val="18"/>
          <w:lang w:val="hu-HU"/>
        </w:rPr>
        <w:t>összege (illetve az egyösszegű díj) nem kerül jóváírásra az Alapítvány számláján</w:t>
      </w:r>
      <w:r w:rsidR="00943D7C">
        <w:rPr>
          <w:rFonts w:ascii="Arial" w:hAnsi="Arial" w:cs="Arial"/>
          <w:sz w:val="18"/>
          <w:szCs w:val="18"/>
          <w:lang w:val="hu-HU"/>
        </w:rPr>
        <w:t>;</w:t>
      </w:r>
    </w:p>
    <w:p w14:paraId="653FB7DC" w14:textId="277146E0" w:rsidR="0090416C" w:rsidRPr="004A76F2" w:rsidRDefault="00943D7C" w:rsidP="008D6DF3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943D7C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amennyiben saját hitel kiváltása esetén az Üzletszabályzat V.3.1. pont szerint a kiváltott szerződés kapcsán fizetendő kezességi díj a kiváltó szerződésre vonatkozó Kezességi Levél kibocsátásától számított 120 napon belül nem kerül megfizetésre.</w:t>
      </w:r>
    </w:p>
    <w:p w14:paraId="587D4F4F" w14:textId="308BEF00" w:rsidR="00870EC2" w:rsidRPr="00782929" w:rsidRDefault="00870EC2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4A76F2">
        <w:rPr>
          <w:rFonts w:ascii="Arial" w:hAnsi="Arial" w:cs="Arial"/>
          <w:sz w:val="18"/>
          <w:szCs w:val="18"/>
          <w:lang w:val="hu-HU"/>
        </w:rPr>
        <w:t>A pénzügyi intézmény és az Alapítvány közös megegyezése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alapján megszüntetésre kerül a kezességi szerződés </w:t>
      </w:r>
      <w:r w:rsidR="00D268BE" w:rsidRPr="00782929">
        <w:rPr>
          <w:rFonts w:ascii="Arial" w:hAnsi="Arial" w:cs="Arial"/>
          <w:sz w:val="18"/>
          <w:szCs w:val="18"/>
          <w:lang w:val="hu-HU"/>
        </w:rPr>
        <w:t>annak az új</w:t>
      </w:r>
      <w:r w:rsidR="00543E08" w:rsidRPr="00782929">
        <w:rPr>
          <w:rFonts w:ascii="Arial" w:hAnsi="Arial" w:cs="Arial"/>
          <w:sz w:val="18"/>
          <w:szCs w:val="18"/>
          <w:lang w:val="hu-HU"/>
        </w:rPr>
        <w:t xml:space="preserve"> Kezességi Levélnek, illetve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kezességi szerződés</w:t>
      </w:r>
      <w:r w:rsidR="00543E08" w:rsidRPr="00782929">
        <w:rPr>
          <w:rFonts w:ascii="Arial" w:hAnsi="Arial" w:cs="Arial"/>
          <w:sz w:val="18"/>
          <w:szCs w:val="18"/>
          <w:lang w:val="hu-HU"/>
        </w:rPr>
        <w:t>nek az aláírásának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a napjával, amelynek célja, </w:t>
      </w:r>
      <w:r w:rsidR="00943D7C">
        <w:rPr>
          <w:rFonts w:ascii="Arial" w:hAnsi="Arial" w:cs="Arial"/>
          <w:sz w:val="18"/>
          <w:szCs w:val="18"/>
          <w:lang w:val="hu-HU"/>
        </w:rPr>
        <w:t xml:space="preserve">saját hitel kiváltása, feltéve, hogy a kiváltandó hitel is </w:t>
      </w:r>
      <w:r w:rsidR="00D268BE" w:rsidRPr="00782929">
        <w:rPr>
          <w:rFonts w:ascii="Arial" w:hAnsi="Arial" w:cs="Arial"/>
          <w:sz w:val="18"/>
          <w:szCs w:val="18"/>
          <w:lang w:val="hu-HU"/>
        </w:rPr>
        <w:t xml:space="preserve"> alapítványi kezességgel biztosított  </w:t>
      </w:r>
      <w:r w:rsidR="00485FFC" w:rsidRPr="00782929">
        <w:rPr>
          <w:rFonts w:ascii="Arial" w:hAnsi="Arial" w:cs="Arial"/>
          <w:sz w:val="18"/>
          <w:szCs w:val="18"/>
          <w:lang w:val="hu-HU"/>
        </w:rPr>
        <w:t>– a pénzügyi intézménynek az új szerződés megkötésétől számított 90 napon belül megtett, a folyósítás elmaradására vonatkozó, Rendszerben történő jelzése kivételével –</w:t>
      </w:r>
      <w:r w:rsidR="00485FFC" w:rsidRPr="00782929">
        <w:rPr>
          <w:rFonts w:ascii="Arial" w:hAnsi="Arial" w:cs="Arial"/>
          <w:i/>
          <w:sz w:val="18"/>
          <w:szCs w:val="18"/>
          <w:lang w:val="hu-HU"/>
        </w:rPr>
        <w:t xml:space="preserve"> </w:t>
      </w:r>
      <w:r w:rsidR="00D268BE" w:rsidRPr="00782929">
        <w:rPr>
          <w:rFonts w:ascii="Arial" w:hAnsi="Arial" w:cs="Arial"/>
          <w:sz w:val="18"/>
          <w:szCs w:val="18"/>
          <w:lang w:val="hu-HU"/>
        </w:rPr>
        <w:t>abban az esetben, amennyiben az új kezességi szerződés első évi kezességi díja megfizetésre kerül.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pénzügyi intézmény kezességi szerződés megszüntetésre irányuló nyilatkozatának az új kezességi szerződés díjának megfizetése minősül, amelynek alapítványi elfogadása, és ezáltal a megszüntetéshez szükséges közös akarategység létrejötte az Üzletszabályzat </w:t>
      </w:r>
      <w:r w:rsidR="00580B65" w:rsidRPr="00782929">
        <w:rPr>
          <w:rFonts w:ascii="Arial" w:hAnsi="Arial" w:cs="Arial"/>
          <w:sz w:val="18"/>
          <w:szCs w:val="18"/>
          <w:lang w:val="hu-HU"/>
        </w:rPr>
        <w:t>VIII</w:t>
      </w:r>
      <w:r w:rsidRPr="00782929">
        <w:rPr>
          <w:rFonts w:ascii="Arial" w:hAnsi="Arial" w:cs="Arial"/>
          <w:sz w:val="18"/>
          <w:szCs w:val="18"/>
          <w:lang w:val="hu-HU"/>
        </w:rPr>
        <w:t>.2</w:t>
      </w:r>
      <w:r w:rsidR="00D268BE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pontján alapul</w:t>
      </w:r>
      <w:r w:rsidR="001514A2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</w:t>
      </w:r>
      <w:r w:rsidR="000971C8" w:rsidRPr="00782929">
        <w:rPr>
          <w:rFonts w:ascii="Arial" w:hAnsi="Arial" w:cs="Arial"/>
          <w:sz w:val="18"/>
          <w:szCs w:val="18"/>
          <w:lang w:val="hu-HU"/>
        </w:rPr>
        <w:lastRenderedPageBreak/>
        <w:t>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Többcélú hitelkeret szerződés esetében a kezesi helytállásra vonatkozó igény, a beváltási feltételek fennállta esetén, a hitelkeret terhére megkötött valamennyi szerződés esedékessé válásakor, a szerződések közül a legkésőbb 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5DBF7814" w:rsidR="00FC4C4C" w:rsidRPr="00782929" w:rsidRDefault="00FC4C4C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22621D63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 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4C73E242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1F6A7D40" w:rsidR="003C540B" w:rsidRDefault="00BC6B91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</w:t>
      </w:r>
      <w:r w:rsidR="00D20DD6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BC6D8B" w:rsidRPr="00782929">
        <w:rPr>
          <w:rFonts w:ascii="Arial" w:hAnsi="Arial" w:cs="Arial"/>
          <w:sz w:val="18"/>
          <w:szCs w:val="18"/>
          <w:lang w:val="hu-HU"/>
        </w:rPr>
        <w:t>a köv</w:t>
      </w:r>
      <w:r w:rsidR="00B822E5" w:rsidRPr="00782929">
        <w:rPr>
          <w:rFonts w:ascii="Arial" w:hAnsi="Arial" w:cs="Arial"/>
          <w:sz w:val="18"/>
          <w:szCs w:val="18"/>
          <w:lang w:val="hu-HU"/>
        </w:rPr>
        <w:t xml:space="preserve">etelés arányos része az </w:t>
      </w:r>
      <w:r w:rsidR="00D20DD6" w:rsidRPr="00782929">
        <w:rPr>
          <w:rFonts w:ascii="Arial" w:hAnsi="Arial" w:cs="Arial"/>
          <w:sz w:val="18"/>
          <w:szCs w:val="18"/>
          <w:lang w:val="hu-HU"/>
        </w:rPr>
        <w:t>Alapítványra száll át biztosítékaival, az azt biztosító jogokkal, valamint a végrehajtási joggal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együtt. Az így keletkező alapítványi követelések érvényesítésére vonatkozó további szabályokat az Üzletszabályzat tartalmazza.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4AB43CB1" w14:textId="6A11199B" w:rsidR="00755B05" w:rsidRPr="000F65F1" w:rsidRDefault="00DD00CB" w:rsidP="000D12BC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COSME kezességre, különösen a </w:t>
      </w:r>
      <w:r w:rsidR="00B867BA" w:rsidRPr="00782929">
        <w:rPr>
          <w:rFonts w:ascii="Arial" w:hAnsi="Arial" w:cs="Arial"/>
          <w:sz w:val="18"/>
          <w:szCs w:val="18"/>
          <w:lang w:val="hu-HU"/>
        </w:rPr>
        <w:t>megtér</w:t>
      </w:r>
      <w:r w:rsidR="00B867BA">
        <w:rPr>
          <w:rFonts w:ascii="Arial" w:hAnsi="Arial" w:cs="Arial"/>
          <w:sz w:val="18"/>
          <w:szCs w:val="18"/>
          <w:lang w:val="hu-HU"/>
        </w:rPr>
        <w:t>ülési</w:t>
      </w:r>
      <w:r w:rsidR="00B867BA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elsőbbséget biztosító COSME kezességre a fentiektől eltérő szabályok vonatkoznak az Üzletszabályzat 4. számú mellékletében rögzítettek szerint, amely szabályokat a pénzügyi intézmény </w:t>
      </w:r>
      <w:r w:rsidR="00332C2A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jelen Általános Szerződési Feltételek aláírása előtt megismert, és az abban foglaltakat kifejezetten elfogadja.</w:t>
      </w:r>
    </w:p>
    <w:p w14:paraId="59CF5843" w14:textId="77777777" w:rsidR="00A970F7" w:rsidRPr="0087261C" w:rsidRDefault="00A970F7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775FC4C6" w:rsidR="00A970F7" w:rsidRPr="00700569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A08D2C4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3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3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lastRenderedPageBreak/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D088F0F" w14:textId="77777777" w:rsidTr="00B576C2">
        <w:tc>
          <w:tcPr>
            <w:tcW w:w="4820" w:type="dxa"/>
            <w:vAlign w:val="bottom"/>
          </w:tcPr>
          <w:p w14:paraId="3845728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B46E6C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103C4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BE658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D54A6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794044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47597F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5406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87245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A05E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111692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AD44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8AE97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lastRenderedPageBreak/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0F5C05" w14:textId="4F19C04D" w:rsidR="00DC5CF6" w:rsidRPr="00F1278E" w:rsidRDefault="00DC5CF6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4" w:name="pr2"/>
      <w:bookmarkStart w:id="5" w:name="_Toc477250364"/>
      <w:bookmarkStart w:id="6" w:name="_Toc477250409"/>
      <w:bookmarkStart w:id="7" w:name="_Toc477250465"/>
      <w:bookmarkStart w:id="8" w:name="_Toc490144058"/>
      <w:bookmarkStart w:id="9" w:name="_Toc246929553"/>
      <w:bookmarkStart w:id="10" w:name="_Toc385192684"/>
      <w:bookmarkStart w:id="11" w:name="_Toc385192858"/>
      <w:bookmarkStart w:id="12" w:name="_Toc385192938"/>
      <w:bookmarkStart w:id="13" w:name="_Toc385193880"/>
      <w:bookmarkStart w:id="14" w:name="_Toc388354115"/>
      <w:bookmarkStart w:id="15" w:name="_Toc417047299"/>
      <w:bookmarkEnd w:id="4"/>
    </w:p>
    <w:p w14:paraId="306D3DEB" w14:textId="77777777" w:rsidR="00B74AA8" w:rsidRPr="00F1278E" w:rsidRDefault="00B74AA8" w:rsidP="00F1278E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b/>
          <w:sz w:val="18"/>
        </w:rPr>
      </w:pPr>
      <w:bookmarkStart w:id="16" w:name="_Toc47516409"/>
      <w:bookmarkStart w:id="17" w:name="_Toc185386872"/>
      <w:bookmarkStart w:id="18" w:name="_Hlk561653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F1278E">
        <w:rPr>
          <w:rFonts w:ascii="Arial" w:hAnsi="Arial"/>
          <w:b/>
          <w:sz w:val="18"/>
          <w:lang w:val="x-none"/>
        </w:rPr>
        <w:t>H I R D E T M É N Y</w:t>
      </w:r>
      <w:bookmarkEnd w:id="16"/>
    </w:p>
    <w:p w14:paraId="69ED1EEF" w14:textId="53674BD7" w:rsidR="00B74AA8" w:rsidRPr="00B74AA8" w:rsidRDefault="00B74AA8" w:rsidP="00F1278E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Érvényes: 2021.</w:t>
      </w:r>
      <w:r w:rsidRPr="00B74AA8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Pr="00B74AA8">
        <w:rPr>
          <w:rFonts w:ascii="Arial" w:hAnsi="Arial" w:cs="Arial"/>
          <w:sz w:val="18"/>
          <w:szCs w:val="18"/>
          <w:lang w:val="hu-HU"/>
        </w:rPr>
        <w:t>július 1-től</w:t>
      </w:r>
      <w:r w:rsidRPr="00B74AA8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B74AA8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48C8AA5D" w14:textId="77777777" w:rsidR="00B74AA8" w:rsidRPr="00F1278E" w:rsidRDefault="00B74AA8" w:rsidP="00F1278E">
      <w:pPr>
        <w:spacing w:before="0" w:after="0"/>
        <w:ind w:left="0"/>
        <w:jc w:val="left"/>
        <w:rPr>
          <w:rFonts w:ascii="Arial" w:hAnsi="Arial"/>
          <w:b/>
          <w:sz w:val="18"/>
          <w:lang w:val="hu-HU"/>
        </w:rPr>
      </w:pPr>
    </w:p>
    <w:p w14:paraId="553C8F12" w14:textId="77777777" w:rsidR="00B74AA8" w:rsidRPr="00F1278E" w:rsidRDefault="00B74AA8" w:rsidP="00F1278E">
      <w:pPr>
        <w:spacing w:before="0" w:after="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I.</w:t>
      </w:r>
      <w:r w:rsidRPr="00F1278E">
        <w:rPr>
          <w:rFonts w:ascii="Arial" w:hAnsi="Arial"/>
          <w:b/>
          <w:sz w:val="18"/>
          <w:lang w:val="hu-HU"/>
        </w:rPr>
        <w:tab/>
        <w:t>A KÉSZFIZETŐ KEZESSÉG DÍJA</w:t>
      </w:r>
    </w:p>
    <w:p w14:paraId="0F4984DA" w14:textId="77777777" w:rsidR="00B74AA8" w:rsidRPr="00F1278E" w:rsidRDefault="00B74AA8" w:rsidP="00F1278E">
      <w:pPr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</w:p>
    <w:p w14:paraId="127A5479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x-none"/>
        </w:rPr>
        <w:t>1.</w:t>
      </w:r>
      <w:r w:rsidRPr="00F1278E">
        <w:rPr>
          <w:rFonts w:ascii="Arial" w:hAnsi="Arial"/>
          <w:b/>
          <w:sz w:val="18"/>
          <w:lang w:val="x-none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F1278E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F1278E">
        <w:rPr>
          <w:rFonts w:ascii="Arial" w:hAnsi="Arial"/>
          <w:b/>
          <w:sz w:val="18"/>
          <w:u w:val="single"/>
          <w:lang w:val="x-none"/>
        </w:rPr>
        <w:t>mértéke</w:t>
      </w:r>
    </w:p>
    <w:p w14:paraId="7A075F0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65F4D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keretében, agrárcélú ügylet esetén</w:t>
      </w:r>
    </w:p>
    <w:p w14:paraId="4612BDE7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80C11D8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9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90%-tól eltérő kezességi mérték esetén a díjkulcs arányosan változik.</w:t>
      </w:r>
    </w:p>
    <w:p w14:paraId="62157DE2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65A1B0B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6D8B2EF3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0F95170B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F1278E">
              <w:rPr>
                <w:szCs w:val="20"/>
                <w:lang w:eastAsia="hu-HU"/>
              </w:rPr>
              <w:footnoteReference w:id="6"/>
            </w:r>
          </w:p>
        </w:tc>
      </w:tr>
      <w:tr w:rsidR="00B74AA8" w:rsidRPr="00B74AA8" w14:paraId="6E279FD3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7059E1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7D8EE657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012B4430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3E39384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(AVHGA Krízis Agrárgarancia Programon kívül)</w:t>
      </w:r>
    </w:p>
    <w:p w14:paraId="7C9F23F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034A204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7E3825BA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699"/>
        <w:gridCol w:w="1703"/>
        <w:gridCol w:w="1699"/>
        <w:gridCol w:w="1700"/>
      </w:tblGrid>
      <w:tr w:rsidR="00B74AA8" w:rsidRPr="00B74AA8" w14:paraId="47EBB9DD" w14:textId="77777777" w:rsidTr="00F1278E">
        <w:trPr>
          <w:trHeight w:val="1016"/>
        </w:trPr>
        <w:tc>
          <w:tcPr>
            <w:tcW w:w="2263" w:type="dxa"/>
          </w:tcPr>
          <w:p w14:paraId="4B0C4C34" w14:textId="77777777" w:rsidR="00B74AA8" w:rsidRPr="00B74AA8" w:rsidRDefault="00B74AA8" w:rsidP="00F1278E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31D443E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2021. december 31-ig</w:t>
            </w:r>
            <w:r w:rsidRPr="00F1278E">
              <w:rPr>
                <w:szCs w:val="20"/>
                <w:lang w:eastAsia="hu-HU"/>
              </w:rPr>
              <w:footnoteReference w:id="7"/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Vállalkozásnak nyújtott költségvetési díjtámogatás nélkül (bruttó)</w:t>
            </w:r>
          </w:p>
        </w:tc>
        <w:tc>
          <w:tcPr>
            <w:tcW w:w="1699" w:type="dxa"/>
            <w:vAlign w:val="center"/>
          </w:tcPr>
          <w:p w14:paraId="373CD22D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2022. január 1-től a Vállalkozásnak nyújtott költségvetési díjtámogatás nélkül (bruttó)</w:t>
            </w:r>
          </w:p>
        </w:tc>
        <w:tc>
          <w:tcPr>
            <w:tcW w:w="1699" w:type="dxa"/>
          </w:tcPr>
          <w:p w14:paraId="3357CE1B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2021. december 31-ig a Vállalkozásnak nyújtott költségvetési díjtámogatás mellett (nettó) </w:t>
            </w:r>
          </w:p>
        </w:tc>
        <w:tc>
          <w:tcPr>
            <w:tcW w:w="1700" w:type="dxa"/>
            <w:vAlign w:val="center"/>
          </w:tcPr>
          <w:p w14:paraId="4A8ABFC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2022. január 1-től a Vállalkozásnak nyújtott költségvetési díjtámogatás mellett (nettó)</w:t>
            </w:r>
            <w:r w:rsidRPr="00F1278E">
              <w:rPr>
                <w:szCs w:val="20"/>
                <w:lang w:eastAsia="hu-HU"/>
              </w:rPr>
              <w:footnoteReference w:id="8"/>
            </w:r>
            <w:r w:rsidRPr="00F1278E">
              <w:rPr>
                <w:szCs w:val="20"/>
                <w:lang w:eastAsia="hu-HU"/>
              </w:rPr>
              <w:t xml:space="preserve"> </w:t>
            </w:r>
          </w:p>
        </w:tc>
      </w:tr>
      <w:tr w:rsidR="00B74AA8" w:rsidRPr="00B74AA8" w14:paraId="5097F2C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3946303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hu-HU" w:eastAsia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1699" w:type="dxa"/>
            <w:vAlign w:val="center"/>
          </w:tcPr>
          <w:p w14:paraId="54B3D0FE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  <w:tc>
          <w:tcPr>
            <w:tcW w:w="1699" w:type="dxa"/>
            <w:vAlign w:val="center"/>
          </w:tcPr>
          <w:p w14:paraId="1165908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1699" w:type="dxa"/>
            <w:vAlign w:val="center"/>
          </w:tcPr>
          <w:p w14:paraId="0065F58B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  <w:tc>
          <w:tcPr>
            <w:tcW w:w="1700" w:type="dxa"/>
            <w:vAlign w:val="center"/>
          </w:tcPr>
          <w:p w14:paraId="628983F3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B74AA8" w:rsidRPr="00B74AA8" w14:paraId="700023A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704A451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398" w:type="dxa"/>
            <w:gridSpan w:val="2"/>
            <w:vAlign w:val="center"/>
          </w:tcPr>
          <w:p w14:paraId="6C495A0C" w14:textId="3CD5609B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399" w:type="dxa"/>
            <w:gridSpan w:val="2"/>
            <w:vAlign w:val="center"/>
          </w:tcPr>
          <w:p w14:paraId="55105E57" w14:textId="60E7EA8E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B74AA8" w:rsidRPr="00B74AA8" w14:paraId="3B4F55E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50653ED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402" w:type="dxa"/>
            <w:gridSpan w:val="2"/>
            <w:vAlign w:val="center"/>
          </w:tcPr>
          <w:p w14:paraId="5727E71D" w14:textId="3C1E3808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395" w:type="dxa"/>
            <w:gridSpan w:val="2"/>
            <w:vAlign w:val="center"/>
          </w:tcPr>
          <w:p w14:paraId="30DA21CC" w14:textId="6E585AB4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B74AA8" w:rsidRPr="00B74AA8" w14:paraId="4BAFF23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6D9FE4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402" w:type="dxa"/>
            <w:gridSpan w:val="2"/>
            <w:vAlign w:val="center"/>
          </w:tcPr>
          <w:p w14:paraId="2A194A7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395" w:type="dxa"/>
            <w:gridSpan w:val="2"/>
            <w:vAlign w:val="center"/>
          </w:tcPr>
          <w:p w14:paraId="27498CEC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37EC99A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ACE60F3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F1278E">
        <w:footnoteReference w:id="9"/>
      </w:r>
      <w:r w:rsidRPr="00B74AA8">
        <w:rPr>
          <w:rFonts w:ascii="Arial" w:hAnsi="Arial" w:cs="Arial"/>
          <w:b/>
          <w:sz w:val="18"/>
          <w:szCs w:val="18"/>
          <w:vertAlign w:val="superscript"/>
          <w:lang w:val="hu-HU"/>
        </w:rPr>
        <w:t>,</w:t>
      </w:r>
      <w:r w:rsidRPr="00F1278E">
        <w:footnoteReference w:id="10"/>
      </w:r>
    </w:p>
    <w:p w14:paraId="2A6A0B3E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13E0F82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4E5BABB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59EAA7EA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7C395CDD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3FAC8EAF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B74AA8" w:rsidRPr="00B74AA8" w14:paraId="4485169D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1A389BC5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08BC8D4A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B74AA8" w:rsidRPr="00B74AA8" w14:paraId="7BD6B081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40C170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4534" w:type="dxa"/>
            <w:vAlign w:val="center"/>
          </w:tcPr>
          <w:p w14:paraId="58136A02" w14:textId="4E9C9663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</w:tr>
      <w:tr w:rsidR="00B74AA8" w:rsidRPr="00B74AA8" w14:paraId="0E2C0401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763E46A3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4534" w:type="dxa"/>
            <w:vAlign w:val="center"/>
          </w:tcPr>
          <w:p w14:paraId="4E28CC22" w14:textId="77777777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49A2511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30C9D37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 xml:space="preserve">Az 1 000 Ft-ot el nem érő összegű kedvezményes kezességi díj (ideértve a korrigált kezességi díjat is) elengedésre kerül. </w:t>
      </w:r>
    </w:p>
    <w:p w14:paraId="45F82EFB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5D2F3184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768B8917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2172606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x-none"/>
        </w:rPr>
        <w:t>A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F1278E">
        <w:rPr>
          <w:rFonts w:ascii="Arial" w:hAnsi="Arial"/>
          <w:sz w:val="18"/>
          <w:lang w:val="x-none"/>
        </w:rPr>
        <w:t xml:space="preserve">legalább 3 éves futamidejű 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F1278E">
        <w:rPr>
          <w:rFonts w:ascii="Arial" w:hAnsi="Arial"/>
          <w:sz w:val="18"/>
          <w:lang w:val="x-none"/>
        </w:rPr>
        <w:t xml:space="preserve">beruházási 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hitelekhez és lízingszerződésekhez nyújtott állami támogatásnak minősülő kezesség első két számlázási időszakot (első törtév és azt követő teljes naptári év) érintő kedvezményes </w:t>
      </w:r>
      <w:r w:rsidRPr="00F1278E">
        <w:rPr>
          <w:rFonts w:ascii="Arial" w:hAnsi="Arial"/>
          <w:sz w:val="18"/>
          <w:lang w:val="x-none"/>
        </w:rPr>
        <w:t>kezességi díj</w:t>
      </w:r>
      <w:r w:rsidRPr="00B74AA8">
        <w:rPr>
          <w:rFonts w:ascii="Arial" w:hAnsi="Arial" w:cs="Arial"/>
          <w:iCs/>
          <w:sz w:val="18"/>
          <w:szCs w:val="18"/>
          <w:lang w:val="hu-HU"/>
        </w:rPr>
        <w:t>a</w:t>
      </w:r>
      <w:r w:rsidRPr="00F1278E">
        <w:rPr>
          <w:rFonts w:ascii="Arial" w:hAnsi="Arial"/>
          <w:sz w:val="18"/>
          <w:lang w:val="x-none"/>
        </w:rPr>
        <w:t xml:space="preserve"> elengedésre kerül</w:t>
      </w:r>
      <w:r w:rsidRPr="00B74AA8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F1278E">
        <w:rPr>
          <w:rFonts w:ascii="Arial" w:hAnsi="Arial"/>
          <w:sz w:val="18"/>
          <w:lang w:val="x-none"/>
        </w:rPr>
        <w:t>.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B74AA8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2D1A98F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06AD49B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t>3.</w:t>
      </w:r>
      <w:r w:rsidRPr="00B74AA8">
        <w:rPr>
          <w:rFonts w:ascii="Arial" w:hAnsi="Arial" w:cs="Arial"/>
          <w:b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4D6B23D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24AA761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503F787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243BADDE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2089DD7D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202F2F3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6402D4F5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BB09EF5" w14:textId="77777777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</w:p>
          <w:p w14:paraId="21CF02AF" w14:textId="68423C7D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x-none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14%</w:t>
            </w:r>
          </w:p>
          <w:p w14:paraId="1DA6B9B6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752A663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D324D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DE1A958" w14:textId="2E36AC30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11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77F6990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69F3BB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lastRenderedPageBreak/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55C3CF0D" w14:textId="0278785F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hu-HU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11%</w:t>
            </w:r>
          </w:p>
          <w:p w14:paraId="53EAF64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341C716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A593A7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C25E058" w14:textId="5A92DE61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42364EC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387A3A5C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6"/>
          <w:sz w:val="18"/>
          <w:lang w:val="hu-HU"/>
        </w:rPr>
        <w:t>Nem elsődleges agrár célú ügylet esetén</w:t>
      </w:r>
    </w:p>
    <w:p w14:paraId="441DA91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544C5D0F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0EDF1F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3685332" w14:textId="4F6A16A4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2,01%</w:t>
            </w:r>
          </w:p>
        </w:tc>
      </w:tr>
      <w:tr w:rsidR="00B74AA8" w:rsidRPr="00B74AA8" w14:paraId="22AD92C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109AF59F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3CDA131" w14:textId="33F35E88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34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0A493974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7E44B5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0C2BE051" w14:textId="1A7E4FCA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11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41076D0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362DC93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158C4388" w14:textId="5BC509D0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54EDACD5" w14:textId="77777777" w:rsidR="00B74AA8" w:rsidRPr="00F1278E" w:rsidRDefault="00B74AA8" w:rsidP="00F1278E">
      <w:pPr>
        <w:shd w:val="clear" w:color="auto" w:fill="FFFFFF"/>
        <w:spacing w:before="0" w:after="100"/>
        <w:ind w:left="0"/>
        <w:rPr>
          <w:rFonts w:ascii="Arial" w:hAnsi="Arial"/>
          <w:sz w:val="18"/>
          <w:lang w:val="hu-HU"/>
        </w:rPr>
      </w:pPr>
    </w:p>
    <w:p w14:paraId="3D0C4FAE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lang w:val="x-none"/>
        </w:rPr>
      </w:pPr>
      <w:r w:rsidRPr="00B74AA8">
        <w:rPr>
          <w:rFonts w:ascii="Arial" w:hAnsi="Arial" w:cs="Arial"/>
          <w:sz w:val="18"/>
          <w:szCs w:val="18"/>
          <w:lang w:val="x-none"/>
        </w:rPr>
        <w:t>A</w:t>
      </w:r>
      <w:r w:rsidRPr="00F1278E">
        <w:rPr>
          <w:rFonts w:ascii="Arial" w:hAnsi="Arial"/>
          <w:sz w:val="18"/>
          <w:lang w:val="hu-HU"/>
        </w:rPr>
        <w:t xml:space="preserve"> piaci kezességi</w:t>
      </w:r>
      <w:r w:rsidRPr="00B74AA8">
        <w:rPr>
          <w:rFonts w:ascii="Arial" w:hAnsi="Arial" w:cs="Arial"/>
          <w:sz w:val="18"/>
          <w:szCs w:val="18"/>
          <w:lang w:val="x-none"/>
        </w:rPr>
        <w:t xml:space="preserve"> díj minimális összege </w:t>
      </w:r>
      <w:r w:rsidRPr="00F1278E">
        <w:rPr>
          <w:rFonts w:ascii="Arial" w:hAnsi="Arial"/>
          <w:sz w:val="18"/>
          <w:lang w:val="hu-HU"/>
        </w:rPr>
        <w:t xml:space="preserve">1 </w:t>
      </w:r>
      <w:r w:rsidRPr="00B74AA8">
        <w:rPr>
          <w:rFonts w:ascii="Arial" w:hAnsi="Arial" w:cs="Arial"/>
          <w:sz w:val="18"/>
          <w:szCs w:val="18"/>
          <w:lang w:val="x-none"/>
        </w:rPr>
        <w:t>000 Ft.</w:t>
      </w:r>
    </w:p>
    <w:p w14:paraId="1C599A0F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lang w:val="x-none"/>
        </w:rPr>
      </w:pPr>
    </w:p>
    <w:p w14:paraId="3477EEBE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4.</w:t>
      </w:r>
      <w:r w:rsidRPr="00F1278E">
        <w:rPr>
          <w:rFonts w:ascii="Arial" w:hAnsi="Arial"/>
          <w:b/>
          <w:sz w:val="18"/>
          <w:lang w:val="hu-HU"/>
        </w:rPr>
        <w:tab/>
      </w:r>
      <w:r w:rsidRPr="00F1278E">
        <w:rPr>
          <w:rFonts w:ascii="Arial" w:hAnsi="Arial"/>
          <w:b/>
          <w:sz w:val="18"/>
          <w:u w:val="single"/>
          <w:lang w:val="hu-HU"/>
        </w:rPr>
        <w:t>COSME kezességi díj évenkénti mértéke</w:t>
      </w:r>
    </w:p>
    <w:p w14:paraId="780EB8D3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67D573A1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4EE32D2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2C1E6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grárcélú ügylet esetén</w:t>
            </w:r>
          </w:p>
        </w:tc>
        <w:tc>
          <w:tcPr>
            <w:tcW w:w="4534" w:type="dxa"/>
            <w:vAlign w:val="center"/>
          </w:tcPr>
          <w:p w14:paraId="63BFC486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  <w:tr w:rsidR="00B74AA8" w:rsidRPr="00B74AA8" w14:paraId="15F94994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7C485EA0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idékfejlesztési célú ügylet esetén</w:t>
            </w:r>
          </w:p>
        </w:tc>
        <w:tc>
          <w:tcPr>
            <w:tcW w:w="4534" w:type="dxa"/>
            <w:vAlign w:val="center"/>
          </w:tcPr>
          <w:p w14:paraId="7F630D1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178864B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  <w:r w:rsidRPr="00F1278E">
        <w:rPr>
          <w:rFonts w:ascii="Arial" w:hAnsi="Arial"/>
          <w:sz w:val="18"/>
          <w:lang w:val="hu-HU"/>
        </w:rPr>
        <w:t xml:space="preserve">Az 1 000 Ft-ot el nem érő összegű COSME kezességi díj elengedésre kerül. </w:t>
      </w:r>
    </w:p>
    <w:p w14:paraId="668DACC8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642A53BD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5.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 Széchenyi Beruházási Hitel Plusz Program kezességi díj évenkénti mértéke</w:t>
      </w:r>
    </w:p>
    <w:p w14:paraId="46DB66C1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6A01E5EF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sz w:val="18"/>
          <w:szCs w:val="18"/>
          <w:u w:val="single"/>
          <w:lang w:val="hu-HU"/>
        </w:rPr>
        <w:t>5.1. Átmeneti támogatási jogcímen nyújtott kedvezményes kezességi díj</w:t>
      </w:r>
    </w:p>
    <w:p w14:paraId="65DEEA4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33CE613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</w:t>
      </w:r>
    </w:p>
    <w:p w14:paraId="0F743008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11"/>
        <w:tblW w:w="9067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B74AA8" w:rsidRPr="00B74AA8" w14:paraId="0936B9B6" w14:textId="77777777" w:rsidTr="00F1278E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6D7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Futamidő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177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kedvezményes kezességi díj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204A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Vállalkozásnak nyújtott költségvetési díjtámogatás mellett a vállalkozás által fizetendő (nettó) kedvezményes kezességi díj </w:t>
            </w:r>
          </w:p>
        </w:tc>
      </w:tr>
      <w:tr w:rsidR="00B74AA8" w:rsidRPr="00B74AA8" w14:paraId="15FFB3FB" w14:textId="77777777" w:rsidTr="00F1278E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344A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Legfeljebb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C51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C9E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  <w:tr w:rsidR="00B74AA8" w:rsidRPr="00B74AA8" w14:paraId="5DD83A76" w14:textId="77777777" w:rsidTr="00F1278E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0D7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Több, mint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AB9E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9920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</w:tr>
    </w:tbl>
    <w:p w14:paraId="4B47B8E7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</w:p>
    <w:p w14:paraId="198D4F4F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iCs/>
          <w:sz w:val="18"/>
          <w:szCs w:val="18"/>
          <w:u w:val="single"/>
          <w:lang w:val="hu-HU"/>
        </w:rPr>
        <w:t>5.2 Piaci kezességi díj</w:t>
      </w:r>
    </w:p>
    <w:p w14:paraId="5D2857EC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p w14:paraId="6FC1EAD9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7D5B792B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tbl>
      <w:tblPr>
        <w:tblW w:w="7389" w:type="dxa"/>
        <w:tblLook w:val="04A0" w:firstRow="1" w:lastRow="0" w:firstColumn="1" w:lastColumn="0" w:noHBand="0" w:noVBand="1"/>
      </w:tblPr>
      <w:tblGrid>
        <w:gridCol w:w="1897"/>
        <w:gridCol w:w="2701"/>
        <w:gridCol w:w="2791"/>
      </w:tblGrid>
      <w:tr w:rsidR="00B74AA8" w:rsidRPr="00B74AA8" w14:paraId="33A59314" w14:textId="77777777" w:rsidTr="00F1278E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6E04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71FD" w14:textId="77777777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piaci kezességi díj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A4EA" w14:textId="072E61F5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74AA8" w:rsidRPr="00B74AA8" w14:paraId="0109A2B2" w14:textId="77777777" w:rsidTr="00F1278E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9A8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E89A" w14:textId="1970AC5A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1,</w:t>
            </w: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14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3E7A" w14:textId="1290C2F4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0,</w:t>
            </w: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14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</w:tr>
      <w:tr w:rsidR="00B74AA8" w:rsidRPr="00B74AA8" w14:paraId="6B597972" w14:textId="77777777" w:rsidTr="00474ADF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2801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A80D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2,01%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B90F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1,01%</w:t>
            </w:r>
          </w:p>
        </w:tc>
      </w:tr>
    </w:tbl>
    <w:p w14:paraId="6294F423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0766C7F2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II.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 xml:space="preserve">KEZESSÉGI DÍJ </w:t>
      </w:r>
      <w:r w:rsidRPr="00F1278E">
        <w:rPr>
          <w:rFonts w:ascii="Arial" w:hAnsi="Arial"/>
          <w:b/>
          <w:sz w:val="18"/>
          <w:lang w:val="hu-HU"/>
        </w:rPr>
        <w:t>FIZETÉSI FELTÉTELEK</w:t>
      </w:r>
    </w:p>
    <w:p w14:paraId="0D11519B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6C744DBF" w14:textId="77777777" w:rsidR="00B74AA8" w:rsidRPr="00F1278E" w:rsidRDefault="00B74AA8" w:rsidP="00F1278E">
      <w:pPr>
        <w:shd w:val="clear" w:color="auto" w:fill="FFFFFF"/>
        <w:spacing w:before="0" w:after="60"/>
        <w:ind w:left="709" w:hanging="709"/>
        <w:rPr>
          <w:rFonts w:ascii="Arial" w:hAnsi="Arial"/>
          <w:b/>
          <w:spacing w:val="-3"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1.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>Díjszámítás módja</w:t>
      </w:r>
    </w:p>
    <w:p w14:paraId="44D77932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eastAsia="Calibri" w:hAnsi="Arial"/>
          <w:sz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360</m:t>
              </m:r>
            </m:den>
          </m:f>
        </m:oMath>
      </m:oMathPara>
    </w:p>
    <w:p w14:paraId="195140B8" w14:textId="77777777" w:rsidR="00B74AA8" w:rsidRPr="00F1278E" w:rsidRDefault="00B74AA8" w:rsidP="00F1278E">
      <w:pPr>
        <w:shd w:val="clear" w:color="auto" w:fill="FFFFFF"/>
        <w:spacing w:before="0" w:after="60"/>
        <w:ind w:left="284"/>
        <w:rPr>
          <w:rFonts w:ascii="Arial" w:hAnsi="Arial"/>
          <w:sz w:val="18"/>
          <w:lang w:val="hu-HU"/>
        </w:rPr>
      </w:pPr>
    </w:p>
    <w:p w14:paraId="5D2C863E" w14:textId="77777777" w:rsidR="00B74AA8" w:rsidRPr="00F1278E" w:rsidRDefault="00B74AA8" w:rsidP="00F1278E">
      <w:pPr>
        <w:shd w:val="clear" w:color="auto" w:fill="FFFFFF"/>
        <w:spacing w:before="0"/>
        <w:ind w:left="709" w:hanging="709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  <w:t>Általános szabályok</w:t>
      </w:r>
    </w:p>
    <w:p w14:paraId="1026E998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3FDC235E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díj számítása 360 nap/év és 30 napos hónapok </w:t>
      </w:r>
      <w:proofErr w:type="gramStart"/>
      <w:r w:rsidRPr="00F1278E">
        <w:rPr>
          <w:rFonts w:ascii="Arial" w:hAnsi="Arial"/>
          <w:sz w:val="18"/>
          <w:lang w:val="hu-HU"/>
        </w:rPr>
        <w:t>figyelembe vételével</w:t>
      </w:r>
      <w:proofErr w:type="gramEnd"/>
      <w:r w:rsidRPr="00F1278E">
        <w:rPr>
          <w:rFonts w:ascii="Arial" w:hAnsi="Arial"/>
          <w:sz w:val="18"/>
          <w:lang w:val="hu-HU"/>
        </w:rPr>
        <w:t xml:space="preserve"> történik.</w:t>
      </w:r>
    </w:p>
    <w:p w14:paraId="7B459AFF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38581E46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278E442A" w14:textId="77777777" w:rsidR="00B74AA8" w:rsidRPr="00070522" w:rsidRDefault="00B74AA8" w:rsidP="00F1278E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17D9C5D8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bookmarkStart w:id="19" w:name="_Hlk38864136"/>
      <w:r w:rsidRPr="00F1278E">
        <w:rPr>
          <w:rFonts w:ascii="Arial" w:hAnsi="Arial"/>
          <w:sz w:val="18"/>
          <w:lang w:val="hu-HU"/>
        </w:rPr>
        <w:lastRenderedPageBreak/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1887A6FE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271E289B" w14:textId="77777777" w:rsidR="00B74AA8" w:rsidRPr="00070522" w:rsidRDefault="00B74AA8" w:rsidP="00F1278E">
      <w:pPr>
        <w:numPr>
          <w:ilvl w:val="2"/>
          <w:numId w:val="30"/>
        </w:numPr>
        <w:spacing w:before="0" w:after="240"/>
        <w:ind w:left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4B087CFA" w14:textId="77777777" w:rsidR="00B74AA8" w:rsidRPr="00B74AA8" w:rsidRDefault="00B74AA8" w:rsidP="00B74AA8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 w:cs="Arial"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Továbbá, ha a Magyar Államkincstár azt állapítja meg, hogy a Vállalkozás nem jogosult költségvetési díjtámogatásra, úgy az Alapítvány jogosult a költségvetési díjtámogatás nélküli díjat alkalmazni.</w:t>
      </w:r>
    </w:p>
    <w:p w14:paraId="1FAF6547" w14:textId="77777777" w:rsidR="00B74AA8" w:rsidRPr="00070522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26CD2232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6A5A3FE" w14:textId="77777777" w:rsidR="00B74AA8" w:rsidRPr="00F1278E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/>
          <w:sz w:val="18"/>
          <w:lang w:val="hu-HU"/>
        </w:rPr>
      </w:pPr>
    </w:p>
    <w:p w14:paraId="3B911A38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hAnsi="Arial"/>
          <w:b/>
          <w:sz w:val="18"/>
        </w:rPr>
      </w:pPr>
      <w:bookmarkStart w:id="20" w:name="_Hlk15408924"/>
      <w:r w:rsidRPr="00F1278E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20"/>
      <w:r w:rsidRPr="00F1278E">
        <w:rPr>
          <w:rFonts w:ascii="Arial" w:hAnsi="Arial"/>
          <w:b/>
          <w:sz w:val="18"/>
          <w:lang w:val="hu-HU"/>
        </w:rPr>
        <w:t>, jogutódlás esetén</w:t>
      </w:r>
    </w:p>
    <w:p w14:paraId="48A7B31B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648EE7B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595BB68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2E759C6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70FEDD75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7C82C5D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FEDB2EF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1CF65A36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</w:t>
      </w:r>
      <w:r w:rsidRPr="00F1278E">
        <w:rPr>
          <w:rFonts w:ascii="Arial" w:hAnsi="Arial"/>
          <w:sz w:val="18"/>
          <w:lang w:val="hu-HU"/>
        </w:rPr>
        <w:lastRenderedPageBreak/>
        <w:t>mértékben teszik lehetővé a kedvezményes kezességi díj és/vagy a Vállalkozásnak nyújtott költségvetési díjtámogatás alkalmazását.</w:t>
      </w:r>
    </w:p>
    <w:p w14:paraId="31EF85DC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4CEF2442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0D4EE1EE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263E14CB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36B08577" w14:textId="77777777" w:rsidR="00B74AA8" w:rsidRPr="0094511A" w:rsidRDefault="00B74AA8" w:rsidP="00F1278E">
      <w:pPr>
        <w:spacing w:before="0" w:after="0"/>
        <w:ind w:left="709"/>
        <w:rPr>
          <w:rFonts w:ascii="Arial" w:hAnsi="Arial"/>
          <w:sz w:val="18"/>
        </w:rPr>
      </w:pPr>
    </w:p>
    <w:p w14:paraId="2CFCF847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7FCD91A8" w14:textId="77777777" w:rsidR="00B74AA8" w:rsidRPr="0094511A" w:rsidRDefault="00B74AA8" w:rsidP="00F1278E">
      <w:pPr>
        <w:spacing w:before="0" w:after="0"/>
        <w:ind w:left="708"/>
        <w:rPr>
          <w:rFonts w:ascii="Arial" w:hAnsi="Arial"/>
          <w:sz w:val="18"/>
        </w:rPr>
      </w:pPr>
    </w:p>
    <w:p w14:paraId="0C59E062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6F01B6F0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2FD3FCE4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eastAsia="Calibri" w:hAnsi="Arial"/>
          <w:sz w:val="18"/>
        </w:rPr>
      </w:pPr>
      <w:r w:rsidRPr="00F1278E">
        <w:rPr>
          <w:rFonts w:ascii="Arial" w:hAnsi="Arial"/>
          <w:b/>
          <w:sz w:val="18"/>
          <w:lang w:val="hu-HU"/>
        </w:rPr>
        <w:t>Díjfizetési szabályok a beváltással összefüggésben</w:t>
      </w:r>
    </w:p>
    <w:p w14:paraId="72997949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4.1</w:t>
      </w:r>
      <w:r w:rsidRPr="00F1278E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4CEEA26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4.2</w:t>
      </w:r>
      <w:r w:rsidRPr="00F1278E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10F95467" w14:textId="77777777" w:rsidR="00B74AA8" w:rsidRPr="0094511A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</w:p>
    <w:p w14:paraId="4827A76B" w14:textId="77777777" w:rsidR="00B74AA8" w:rsidRPr="00F1278E" w:rsidRDefault="00B74AA8" w:rsidP="00F1278E">
      <w:pPr>
        <w:numPr>
          <w:ilvl w:val="5"/>
          <w:numId w:val="21"/>
        </w:numPr>
        <w:shd w:val="clear" w:color="auto" w:fill="FFFFFF"/>
        <w:spacing w:before="0" w:after="240"/>
        <w:ind w:left="2693"/>
        <w:jc w:val="left"/>
        <w:rPr>
          <w:rFonts w:ascii="Arial" w:hAnsi="Arial"/>
          <w:b/>
          <w:caps/>
          <w:sz w:val="18"/>
          <w:lang w:val="hu-HU"/>
        </w:rPr>
      </w:pPr>
      <w:r w:rsidRPr="00F1278E">
        <w:rPr>
          <w:rFonts w:ascii="Arial" w:hAnsi="Arial"/>
          <w:b/>
          <w:caps/>
          <w:sz w:val="18"/>
          <w:lang w:val="hu-HU"/>
        </w:rPr>
        <w:t>KEZESSÉGI DÍJ VISSZATÉRÍTÉSE</w:t>
      </w:r>
    </w:p>
    <w:p w14:paraId="344E8FF6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24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44F58CE9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1B2B977F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725F963C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5813775A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7DD6A5C3" w14:textId="77777777" w:rsidR="00B74AA8" w:rsidRPr="00B74AA8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2EA22386" w14:textId="77777777" w:rsidR="00B74AA8" w:rsidRPr="00B74AA8" w:rsidRDefault="00B74AA8" w:rsidP="00B74AA8">
      <w:pPr>
        <w:numPr>
          <w:ilvl w:val="5"/>
          <w:numId w:val="21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1D39A4E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lastRenderedPageBreak/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4778B206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52642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7FD9DD92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64163853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437BC5F5" w14:textId="77777777" w:rsidR="00B74AA8" w:rsidRPr="00B74AA8" w:rsidRDefault="00B74AA8" w:rsidP="00B74AA8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7E6620DE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2F07CED3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599636F6" w14:textId="77777777" w:rsidR="00B74AA8" w:rsidRPr="00B74AA8" w:rsidRDefault="00B74AA8" w:rsidP="00F1278E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72C7720D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86F5222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a)</w:t>
      </w:r>
      <w:r w:rsidRPr="00B74A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1AED478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b)</w:t>
      </w:r>
      <w:r w:rsidRPr="00B74A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7B19CB91" w14:textId="77777777" w:rsidR="00B74AA8" w:rsidRPr="00B74AA8" w:rsidRDefault="00B74AA8" w:rsidP="00F1278E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c)</w:t>
      </w:r>
      <w:r w:rsidRPr="00B74A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27A380EC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d)</w:t>
      </w:r>
      <w:r w:rsidRPr="00B74A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4695B254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7E71D20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1.2</w:t>
      </w:r>
      <w:r w:rsidRPr="00B74A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785541F1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1.3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B74AA8" w:rsidRPr="00B74AA8" w14:paraId="02E174C2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FBB5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34ED4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6403DA7A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B74AA8" w:rsidRPr="00B74AA8" w14:paraId="52CB479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8E250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ED481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B74AA8" w:rsidRPr="00B74AA8" w14:paraId="62D61578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6F121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D6770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B74AA8" w:rsidRPr="00B74AA8" w14:paraId="56CB2CB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27802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AF47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B74AA8" w:rsidRPr="00B74AA8" w14:paraId="4F729ACD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FD807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F5312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AA98C54" w14:textId="77777777" w:rsidR="00B74AA8" w:rsidRPr="00B74AA8" w:rsidRDefault="00B74AA8" w:rsidP="00F1278E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55796BE6" w14:textId="77777777" w:rsidR="00B74AA8" w:rsidRPr="00070522" w:rsidRDefault="00B74AA8" w:rsidP="00F1278E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jc w:val="left"/>
        <w:rPr>
          <w:rFonts w:ascii="Arial" w:hAnsi="Arial"/>
          <w:b/>
          <w:sz w:val="18"/>
        </w:rPr>
      </w:pPr>
      <w:r w:rsidRPr="00F1278E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2E2D3A49" w14:textId="77777777" w:rsidR="00B74AA8" w:rsidRPr="00B74AA8" w:rsidRDefault="00B74AA8" w:rsidP="00F1278E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2.1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1821D34C" w14:textId="337E457B" w:rsidR="00B74AA8" w:rsidRPr="00901141" w:rsidRDefault="00B74AA8" w:rsidP="00F1278E">
      <w:pPr>
        <w:pStyle w:val="Listaszerbekezds"/>
        <w:numPr>
          <w:ilvl w:val="1"/>
          <w:numId w:val="36"/>
        </w:numPr>
        <w:shd w:val="clear" w:color="auto" w:fill="FFFFFF"/>
        <w:spacing w:after="240"/>
        <w:rPr>
          <w:rFonts w:ascii="Arial" w:hAnsi="Arial"/>
          <w:sz w:val="18"/>
        </w:rPr>
      </w:pPr>
      <w:r w:rsidRPr="00901141">
        <w:rPr>
          <w:rFonts w:ascii="Arial" w:hAnsi="Arial"/>
          <w:sz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64B3B6BD" w14:textId="77777777" w:rsidR="00B74AA8" w:rsidRPr="00070522" w:rsidRDefault="00B74AA8" w:rsidP="00F1278E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2.3</w:t>
      </w:r>
      <w:r w:rsidRPr="00F1278E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7"/>
    <w:bookmarkEnd w:id="18"/>
    <w:p w14:paraId="4AD979F4" w14:textId="11D77F56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B02B3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1B90D" w14:textId="77777777" w:rsidR="00EB11F6" w:rsidRDefault="00EB11F6">
      <w:pPr>
        <w:spacing w:before="0" w:after="0"/>
      </w:pPr>
      <w:r>
        <w:separator/>
      </w:r>
    </w:p>
  </w:endnote>
  <w:endnote w:type="continuationSeparator" w:id="0">
    <w:p w14:paraId="223E1C65" w14:textId="77777777" w:rsidR="00EB11F6" w:rsidRDefault="00EB11F6">
      <w:pPr>
        <w:spacing w:before="0" w:after="0"/>
      </w:pPr>
      <w:r>
        <w:continuationSeparator/>
      </w:r>
    </w:p>
  </w:endnote>
  <w:endnote w:type="continuationNotice" w:id="1">
    <w:p w14:paraId="3ACAF61C" w14:textId="77777777" w:rsidR="00EB11F6" w:rsidRDefault="00EB11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E0B2" w14:textId="40662F97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  <w:bookmarkStart w:id="21" w:name="_Hlk62198895"/>
    <w:bookmarkStart w:id="22" w:name="_Hlk62198896"/>
    <w:bookmarkStart w:id="23" w:name="_Hlk62199138"/>
    <w:bookmarkStart w:id="24" w:name="_Hlk62199139"/>
    <w:r w:rsidRPr="00AB34C8">
      <w:rPr>
        <w:rFonts w:ascii="Arial" w:hAnsi="Arial" w:cs="Arial"/>
        <w:sz w:val="16"/>
        <w:szCs w:val="18"/>
      </w:rPr>
      <w:t xml:space="preserve">* </w:t>
    </w:r>
    <w:r w:rsidRPr="004D5159">
      <w:rPr>
        <w:rFonts w:ascii="Arial" w:hAnsi="Arial" w:cs="Arial"/>
        <w:sz w:val="16"/>
        <w:szCs w:val="18"/>
        <w:lang w:val="hu-HU"/>
      </w:rPr>
      <w:t>Az Alapítvány a 202</w:t>
    </w:r>
    <w:r w:rsidR="00B74AA8">
      <w:rPr>
        <w:rFonts w:ascii="Arial" w:hAnsi="Arial" w:cs="Arial"/>
        <w:sz w:val="16"/>
        <w:szCs w:val="18"/>
        <w:lang w:val="hu-HU"/>
      </w:rPr>
      <w:t>1</w:t>
    </w:r>
    <w:r w:rsidRPr="004D5159">
      <w:rPr>
        <w:rFonts w:ascii="Arial" w:hAnsi="Arial" w:cs="Arial"/>
        <w:sz w:val="16"/>
        <w:szCs w:val="18"/>
        <w:lang w:val="hu-HU"/>
      </w:rPr>
      <w:t xml:space="preserve">. </w:t>
    </w:r>
    <w:bookmarkStart w:id="25" w:name="_Hlk56166541"/>
    <w:r w:rsidR="00B74AA8">
      <w:rPr>
        <w:rFonts w:ascii="Arial" w:hAnsi="Arial" w:cs="Arial"/>
        <w:sz w:val="16"/>
        <w:szCs w:val="18"/>
        <w:lang w:val="hu-HU"/>
      </w:rPr>
      <w:t xml:space="preserve">február </w:t>
    </w:r>
    <w:r w:rsidRPr="004D5159">
      <w:rPr>
        <w:rFonts w:ascii="Arial" w:hAnsi="Arial" w:cs="Arial"/>
        <w:sz w:val="16"/>
        <w:szCs w:val="18"/>
        <w:lang w:val="hu-HU"/>
      </w:rPr>
      <w:t xml:space="preserve">1-től </w:t>
    </w:r>
    <w:bookmarkEnd w:id="25"/>
    <w:r w:rsidRPr="004D5159">
      <w:rPr>
        <w:rFonts w:ascii="Arial" w:hAnsi="Arial" w:cs="Arial"/>
        <w:sz w:val="16"/>
        <w:szCs w:val="18"/>
        <w:lang w:val="hu-HU"/>
      </w:rPr>
      <w:t xml:space="preserve">érvényes Kezességi Általános Szerződési Feltételek dokumentumot a PartnerWeben 2021. </w:t>
    </w:r>
    <w:r w:rsidR="00B74AA8">
      <w:rPr>
        <w:rFonts w:ascii="Arial" w:hAnsi="Arial" w:cs="Arial"/>
        <w:sz w:val="16"/>
        <w:szCs w:val="18"/>
        <w:lang w:val="hu-HU"/>
      </w:rPr>
      <w:t>július</w:t>
    </w:r>
    <w:r w:rsidRPr="004D5159">
      <w:rPr>
        <w:rFonts w:ascii="Arial" w:hAnsi="Arial" w:cs="Arial"/>
        <w:sz w:val="16"/>
        <w:szCs w:val="18"/>
        <w:lang w:val="hu-HU"/>
      </w:rPr>
      <w:t xml:space="preserve"> </w:t>
    </w:r>
    <w:r w:rsidR="00182558">
      <w:rPr>
        <w:rFonts w:ascii="Arial" w:hAnsi="Arial" w:cs="Arial"/>
        <w:sz w:val="16"/>
        <w:szCs w:val="18"/>
        <w:lang w:val="hu-HU"/>
      </w:rPr>
      <w:t>15</w:t>
    </w:r>
    <w:bookmarkStart w:id="26" w:name="_Hlk56166551"/>
    <w:r w:rsidRPr="004D5159">
      <w:rPr>
        <w:rFonts w:ascii="Arial" w:hAnsi="Arial" w:cs="Arial"/>
        <w:sz w:val="16"/>
        <w:szCs w:val="18"/>
        <w:lang w:val="hu-HU"/>
      </w:rPr>
      <w:t>-ig</w:t>
    </w:r>
    <w:bookmarkEnd w:id="26"/>
    <w:r w:rsidRPr="004D5159">
      <w:rPr>
        <w:rFonts w:ascii="Arial" w:hAnsi="Arial" w:cs="Arial"/>
        <w:sz w:val="16"/>
        <w:szCs w:val="18"/>
        <w:lang w:val="hu-HU"/>
      </w:rPr>
      <w:t xml:space="preserve"> benyújtott kérelmek vonatkozásában fogadja el</w:t>
    </w:r>
    <w:r w:rsidRPr="00AB34C8">
      <w:rPr>
        <w:rFonts w:ascii="Arial" w:hAnsi="Arial" w:cs="Arial"/>
        <w:sz w:val="16"/>
        <w:szCs w:val="18"/>
      </w:rPr>
      <w:t>.</w:t>
    </w:r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562B" w14:textId="77777777" w:rsidR="00EB11F6" w:rsidRDefault="00EB11F6">
      <w:pPr>
        <w:spacing w:before="0" w:after="0"/>
      </w:pPr>
      <w:r>
        <w:separator/>
      </w:r>
    </w:p>
  </w:footnote>
  <w:footnote w:type="continuationSeparator" w:id="0">
    <w:p w14:paraId="22B8934E" w14:textId="77777777" w:rsidR="00EB11F6" w:rsidRDefault="00EB11F6">
      <w:pPr>
        <w:spacing w:before="0" w:after="0"/>
      </w:pPr>
      <w:r>
        <w:continuationSeparator/>
      </w:r>
    </w:p>
  </w:footnote>
  <w:footnote w:type="continuationNotice" w:id="1">
    <w:p w14:paraId="4B03477F" w14:textId="77777777" w:rsidR="00EB11F6" w:rsidRDefault="00EB11F6">
      <w:pPr>
        <w:spacing w:before="0" w:after="0"/>
      </w:pPr>
    </w:p>
  </w:footnote>
  <w:footnote w:id="2">
    <w:p w14:paraId="0941EE88" w14:textId="0E1817D6" w:rsidR="00E42F43" w:rsidRPr="000A4B21" w:rsidRDefault="00E42F43" w:rsidP="000F65F1">
      <w:pPr>
        <w:pStyle w:val="Lbjegyzetszveg"/>
        <w:jc w:val="both"/>
        <w:rPr>
          <w:lang w:val="hu-HU"/>
        </w:rPr>
      </w:pPr>
      <w:r w:rsidRPr="005C2E9B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5C2E9B">
        <w:rPr>
          <w:rFonts w:ascii="Arial" w:hAnsi="Arial" w:cs="Arial"/>
          <w:sz w:val="16"/>
          <w:szCs w:val="16"/>
          <w:lang w:val="hu-HU"/>
        </w:rPr>
        <w:t xml:space="preserve"> </w:t>
      </w:r>
      <w:r w:rsidRPr="001D0326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Default="00E42F43" w:rsidP="000F65F1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3E1AAB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Default="00E42F43" w:rsidP="000F65F1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5D767056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23C080DD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2B1C6E29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</w:rPr>
        <w:footnoteRef/>
      </w:r>
      <w:r w:rsidRPr="00E01407">
        <w:rPr>
          <w:rFonts w:ascii="Arial" w:hAnsi="Arial" w:cs="Arial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 xml:space="preserve">A </w:t>
      </w:r>
      <w:r w:rsidRPr="00E01407">
        <w:rPr>
          <w:rFonts w:ascii="Arial" w:hAnsi="Arial" w:cs="Arial"/>
          <w:sz w:val="18"/>
          <w:szCs w:val="18"/>
        </w:rPr>
        <w:t xml:space="preserve">Rendszerben elektronikus úton beérkezett kezességi kérelmek </w:t>
      </w:r>
      <w:r w:rsidRPr="00E01407">
        <w:rPr>
          <w:rFonts w:ascii="Arial" w:hAnsi="Arial" w:cs="Arial"/>
          <w:sz w:val="18"/>
          <w:szCs w:val="18"/>
          <w:lang w:val="hu-HU"/>
        </w:rPr>
        <w:t>tekintetében irányadóak a jelen táblázatban szereplő időpontok.</w:t>
      </w:r>
    </w:p>
  </w:footnote>
  <w:footnote w:id="8">
    <w:p w14:paraId="7CBAE67E" w14:textId="77777777" w:rsidR="00B74AA8" w:rsidRPr="00130A5F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9">
    <w:p w14:paraId="29297A8B" w14:textId="77777777" w:rsidR="00B74AA8" w:rsidRPr="008B041D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Pr="008B041D">
        <w:rPr>
          <w:rFonts w:ascii="Arial" w:hAnsi="Arial" w:cs="Arial"/>
          <w:sz w:val="18"/>
          <w:szCs w:val="18"/>
          <w:lang w:val="hu-HU"/>
        </w:rPr>
        <w:t>Az AVHGA Krízis Agrárgarancia Program keretében, illetve azon kívül vállalt kezességekre egységesen.</w:t>
      </w:r>
    </w:p>
  </w:footnote>
  <w:footnote w:id="10">
    <w:p w14:paraId="374EE942" w14:textId="77777777" w:rsidR="00B74AA8" w:rsidRPr="00130A5F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3" name="Kép 3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11FB3FD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2021. </w:t>
    </w:r>
    <w:r w:rsidR="00B74AA8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július 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1-jétől a PartnerWeben benyújtott kérelmekre*</w:t>
    </w:r>
  </w:p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7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3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5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6"/>
  </w:num>
  <w:num w:numId="3">
    <w:abstractNumId w:val="33"/>
  </w:num>
  <w:num w:numId="4">
    <w:abstractNumId w:val="6"/>
  </w:num>
  <w:num w:numId="5">
    <w:abstractNumId w:val="20"/>
  </w:num>
  <w:num w:numId="6">
    <w:abstractNumId w:val="10"/>
  </w:num>
  <w:num w:numId="7">
    <w:abstractNumId w:val="14"/>
  </w:num>
  <w:num w:numId="8">
    <w:abstractNumId w:val="24"/>
  </w:num>
  <w:num w:numId="9">
    <w:abstractNumId w:val="35"/>
  </w:num>
  <w:num w:numId="10">
    <w:abstractNumId w:val="19"/>
  </w:num>
  <w:num w:numId="11">
    <w:abstractNumId w:val="30"/>
  </w:num>
  <w:num w:numId="12">
    <w:abstractNumId w:val="15"/>
  </w:num>
  <w:num w:numId="13">
    <w:abstractNumId w:val="18"/>
  </w:num>
  <w:num w:numId="14">
    <w:abstractNumId w:val="21"/>
  </w:num>
  <w:num w:numId="15">
    <w:abstractNumId w:val="25"/>
  </w:num>
  <w:num w:numId="16">
    <w:abstractNumId w:val="13"/>
  </w:num>
  <w:num w:numId="17">
    <w:abstractNumId w:val="4"/>
  </w:num>
  <w:num w:numId="18">
    <w:abstractNumId w:val="28"/>
  </w:num>
  <w:num w:numId="19">
    <w:abstractNumId w:val="16"/>
  </w:num>
  <w:num w:numId="20">
    <w:abstractNumId w:val="9"/>
  </w:num>
  <w:num w:numId="21">
    <w:abstractNumId w:val="1"/>
  </w:num>
  <w:num w:numId="22">
    <w:abstractNumId w:val="29"/>
  </w:num>
  <w:num w:numId="23">
    <w:abstractNumId w:val="7"/>
  </w:num>
  <w:num w:numId="24">
    <w:abstractNumId w:val="0"/>
  </w:num>
  <w:num w:numId="25">
    <w:abstractNumId w:val="32"/>
  </w:num>
  <w:num w:numId="26">
    <w:abstractNumId w:val="8"/>
  </w:num>
  <w:num w:numId="27">
    <w:abstractNumId w:val="31"/>
  </w:num>
  <w:num w:numId="28">
    <w:abstractNumId w:val="11"/>
  </w:num>
  <w:num w:numId="29">
    <w:abstractNumId w:val="22"/>
  </w:num>
  <w:num w:numId="30">
    <w:abstractNumId w:val="5"/>
  </w:num>
  <w:num w:numId="31">
    <w:abstractNumId w:val="2"/>
  </w:num>
  <w:num w:numId="32">
    <w:abstractNumId w:val="23"/>
  </w:num>
  <w:num w:numId="33">
    <w:abstractNumId w:val="12"/>
  </w:num>
  <w:num w:numId="34">
    <w:abstractNumId w:val="27"/>
  </w:num>
  <w:num w:numId="35">
    <w:abstractNumId w:val="17"/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lC1U02oz1L2X3B3Fco/TxVV01wGecpW3bdCEDD20STI1dh9rmDlsGzVAZ+m15a6Tr4MvBylsb82YcENHosXbQ==" w:salt="jKMJ2bI2zUCPirgIn97ys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502B"/>
    <w:rsid w:val="00007FE5"/>
    <w:rsid w:val="000148E3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2FC7"/>
    <w:rsid w:val="00074ACF"/>
    <w:rsid w:val="000774E9"/>
    <w:rsid w:val="00082C4F"/>
    <w:rsid w:val="00084BCD"/>
    <w:rsid w:val="00091A82"/>
    <w:rsid w:val="00093919"/>
    <w:rsid w:val="000971C8"/>
    <w:rsid w:val="000A0A4C"/>
    <w:rsid w:val="000A0E0F"/>
    <w:rsid w:val="000A1DFF"/>
    <w:rsid w:val="000A1F77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46DB"/>
    <w:rsid w:val="000C5585"/>
    <w:rsid w:val="000D12BC"/>
    <w:rsid w:val="000D2AD6"/>
    <w:rsid w:val="000D2C5A"/>
    <w:rsid w:val="000D4707"/>
    <w:rsid w:val="000D692C"/>
    <w:rsid w:val="000E0950"/>
    <w:rsid w:val="000E0A1D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438C"/>
    <w:rsid w:val="00145F3D"/>
    <w:rsid w:val="00146A63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210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482D"/>
    <w:rsid w:val="001F4A93"/>
    <w:rsid w:val="00200897"/>
    <w:rsid w:val="00202645"/>
    <w:rsid w:val="00206C14"/>
    <w:rsid w:val="00207328"/>
    <w:rsid w:val="00210CC1"/>
    <w:rsid w:val="002113A2"/>
    <w:rsid w:val="00212416"/>
    <w:rsid w:val="00212723"/>
    <w:rsid w:val="00213C63"/>
    <w:rsid w:val="0021754F"/>
    <w:rsid w:val="00221898"/>
    <w:rsid w:val="00225B9D"/>
    <w:rsid w:val="00226BAF"/>
    <w:rsid w:val="00227632"/>
    <w:rsid w:val="00227771"/>
    <w:rsid w:val="00231A4C"/>
    <w:rsid w:val="00232DB3"/>
    <w:rsid w:val="00237AC5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CBE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C8D"/>
    <w:rsid w:val="00364E6E"/>
    <w:rsid w:val="003664BE"/>
    <w:rsid w:val="00367AC1"/>
    <w:rsid w:val="0037228A"/>
    <w:rsid w:val="003745D8"/>
    <w:rsid w:val="00375134"/>
    <w:rsid w:val="00375209"/>
    <w:rsid w:val="00377B16"/>
    <w:rsid w:val="00381908"/>
    <w:rsid w:val="00384F8F"/>
    <w:rsid w:val="0038617C"/>
    <w:rsid w:val="00390BFC"/>
    <w:rsid w:val="003935A6"/>
    <w:rsid w:val="003A3422"/>
    <w:rsid w:val="003A5124"/>
    <w:rsid w:val="003A721E"/>
    <w:rsid w:val="003B0C79"/>
    <w:rsid w:val="003B2BDE"/>
    <w:rsid w:val="003B3EFE"/>
    <w:rsid w:val="003B4BBF"/>
    <w:rsid w:val="003B70D7"/>
    <w:rsid w:val="003C1747"/>
    <w:rsid w:val="003C2873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6C65"/>
    <w:rsid w:val="003F125E"/>
    <w:rsid w:val="003F31F0"/>
    <w:rsid w:val="003F5E8A"/>
    <w:rsid w:val="003F7E78"/>
    <w:rsid w:val="004006C5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73D3"/>
    <w:rsid w:val="0049180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7CD8"/>
    <w:rsid w:val="004D0D44"/>
    <w:rsid w:val="004D511A"/>
    <w:rsid w:val="004D5159"/>
    <w:rsid w:val="004E1DAA"/>
    <w:rsid w:val="004E2C1A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23A8D"/>
    <w:rsid w:val="005268D7"/>
    <w:rsid w:val="00531020"/>
    <w:rsid w:val="005325D2"/>
    <w:rsid w:val="00533475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43FC"/>
    <w:rsid w:val="00575BE9"/>
    <w:rsid w:val="00575E9E"/>
    <w:rsid w:val="0058040C"/>
    <w:rsid w:val="005808E4"/>
    <w:rsid w:val="00580B65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508"/>
    <w:rsid w:val="005A79DF"/>
    <w:rsid w:val="005A7DDC"/>
    <w:rsid w:val="005B1AA8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E09E4"/>
    <w:rsid w:val="005E4C80"/>
    <w:rsid w:val="005E6C60"/>
    <w:rsid w:val="005F17D3"/>
    <w:rsid w:val="005F1944"/>
    <w:rsid w:val="005F2F69"/>
    <w:rsid w:val="005F69E2"/>
    <w:rsid w:val="005F6AEA"/>
    <w:rsid w:val="0060204C"/>
    <w:rsid w:val="0060205E"/>
    <w:rsid w:val="00606032"/>
    <w:rsid w:val="0061025A"/>
    <w:rsid w:val="00610AB0"/>
    <w:rsid w:val="006118F0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80C54"/>
    <w:rsid w:val="006815C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2F7B"/>
    <w:rsid w:val="006E6083"/>
    <w:rsid w:val="006E6DA6"/>
    <w:rsid w:val="006E73CB"/>
    <w:rsid w:val="006F129F"/>
    <w:rsid w:val="006F1726"/>
    <w:rsid w:val="006F1EEC"/>
    <w:rsid w:val="006F4728"/>
    <w:rsid w:val="006F6958"/>
    <w:rsid w:val="006F7D30"/>
    <w:rsid w:val="0070056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3BAD"/>
    <w:rsid w:val="00736D7A"/>
    <w:rsid w:val="00740F33"/>
    <w:rsid w:val="007445E3"/>
    <w:rsid w:val="00746438"/>
    <w:rsid w:val="00752B58"/>
    <w:rsid w:val="00755B05"/>
    <w:rsid w:val="00761B7F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12C2"/>
    <w:rsid w:val="0078162F"/>
    <w:rsid w:val="00781E98"/>
    <w:rsid w:val="0078256A"/>
    <w:rsid w:val="00782929"/>
    <w:rsid w:val="0079006C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2C28"/>
    <w:rsid w:val="007E39EB"/>
    <w:rsid w:val="007E3D67"/>
    <w:rsid w:val="007E414E"/>
    <w:rsid w:val="007E4889"/>
    <w:rsid w:val="007E5EE3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FE3"/>
    <w:rsid w:val="008176D1"/>
    <w:rsid w:val="00820770"/>
    <w:rsid w:val="00822315"/>
    <w:rsid w:val="008224FB"/>
    <w:rsid w:val="008232F4"/>
    <w:rsid w:val="00826C16"/>
    <w:rsid w:val="00827EBA"/>
    <w:rsid w:val="00831AF8"/>
    <w:rsid w:val="00835260"/>
    <w:rsid w:val="0083603B"/>
    <w:rsid w:val="008360EB"/>
    <w:rsid w:val="0084070D"/>
    <w:rsid w:val="00842B38"/>
    <w:rsid w:val="00844E6E"/>
    <w:rsid w:val="00850FD0"/>
    <w:rsid w:val="0085144A"/>
    <w:rsid w:val="00853AA6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A035C"/>
    <w:rsid w:val="008A322A"/>
    <w:rsid w:val="008A4567"/>
    <w:rsid w:val="008A5107"/>
    <w:rsid w:val="008A53C9"/>
    <w:rsid w:val="008B2378"/>
    <w:rsid w:val="008B4ACB"/>
    <w:rsid w:val="008B76BF"/>
    <w:rsid w:val="008C1E6D"/>
    <w:rsid w:val="008C2207"/>
    <w:rsid w:val="008C3AD5"/>
    <w:rsid w:val="008C5620"/>
    <w:rsid w:val="008C6CD2"/>
    <w:rsid w:val="008D2138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141"/>
    <w:rsid w:val="009018C9"/>
    <w:rsid w:val="0090416C"/>
    <w:rsid w:val="00906297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316E"/>
    <w:rsid w:val="00933443"/>
    <w:rsid w:val="00937201"/>
    <w:rsid w:val="009438C5"/>
    <w:rsid w:val="00943D7C"/>
    <w:rsid w:val="00945017"/>
    <w:rsid w:val="0094511A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5710"/>
    <w:rsid w:val="00976A47"/>
    <w:rsid w:val="009819B3"/>
    <w:rsid w:val="00982D06"/>
    <w:rsid w:val="009856B5"/>
    <w:rsid w:val="00986CAB"/>
    <w:rsid w:val="00987DE7"/>
    <w:rsid w:val="00993CF5"/>
    <w:rsid w:val="009949E8"/>
    <w:rsid w:val="00994B15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4017"/>
    <w:rsid w:val="009F4B2A"/>
    <w:rsid w:val="009F6864"/>
    <w:rsid w:val="00A00A49"/>
    <w:rsid w:val="00A068A7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C0C71"/>
    <w:rsid w:val="00AC2DEE"/>
    <w:rsid w:val="00AD08C9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5D4F"/>
    <w:rsid w:val="00B00204"/>
    <w:rsid w:val="00B02B32"/>
    <w:rsid w:val="00B033D6"/>
    <w:rsid w:val="00B10031"/>
    <w:rsid w:val="00B14CB0"/>
    <w:rsid w:val="00B1507D"/>
    <w:rsid w:val="00B1689F"/>
    <w:rsid w:val="00B21E7A"/>
    <w:rsid w:val="00B22F36"/>
    <w:rsid w:val="00B232EB"/>
    <w:rsid w:val="00B23B13"/>
    <w:rsid w:val="00B24084"/>
    <w:rsid w:val="00B243B5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3104"/>
    <w:rsid w:val="00B53988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299B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7BBB"/>
    <w:rsid w:val="00BE1959"/>
    <w:rsid w:val="00BE33BB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FBE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380D"/>
    <w:rsid w:val="00C84136"/>
    <w:rsid w:val="00C8605A"/>
    <w:rsid w:val="00C90B81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6580"/>
    <w:rsid w:val="00D719A1"/>
    <w:rsid w:val="00D7492D"/>
    <w:rsid w:val="00D7496D"/>
    <w:rsid w:val="00D76689"/>
    <w:rsid w:val="00D77E02"/>
    <w:rsid w:val="00D81810"/>
    <w:rsid w:val="00D90EB8"/>
    <w:rsid w:val="00D9377B"/>
    <w:rsid w:val="00D93A6D"/>
    <w:rsid w:val="00D94128"/>
    <w:rsid w:val="00D94673"/>
    <w:rsid w:val="00D94D58"/>
    <w:rsid w:val="00D96E00"/>
    <w:rsid w:val="00DA0826"/>
    <w:rsid w:val="00DA0A00"/>
    <w:rsid w:val="00DA363C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41F6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32177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9CD"/>
    <w:rsid w:val="00E60BB0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98A"/>
    <w:rsid w:val="00E8045C"/>
    <w:rsid w:val="00E8053B"/>
    <w:rsid w:val="00E80FA2"/>
    <w:rsid w:val="00E839B5"/>
    <w:rsid w:val="00E85DF4"/>
    <w:rsid w:val="00E9032F"/>
    <w:rsid w:val="00E91734"/>
    <w:rsid w:val="00E93B77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8AE"/>
    <w:rsid w:val="00ED5354"/>
    <w:rsid w:val="00ED6204"/>
    <w:rsid w:val="00ED68DF"/>
    <w:rsid w:val="00ED7073"/>
    <w:rsid w:val="00EE1940"/>
    <w:rsid w:val="00EE2444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7003"/>
    <w:rsid w:val="00F07B86"/>
    <w:rsid w:val="00F1278E"/>
    <w:rsid w:val="00F146DE"/>
    <w:rsid w:val="00F15854"/>
    <w:rsid w:val="00F25508"/>
    <w:rsid w:val="00F364F7"/>
    <w:rsid w:val="00F369B6"/>
    <w:rsid w:val="00F42C0E"/>
    <w:rsid w:val="00F43370"/>
    <w:rsid w:val="00F4442F"/>
    <w:rsid w:val="00F44445"/>
    <w:rsid w:val="00F45928"/>
    <w:rsid w:val="00F51183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B1652"/>
    <w:rsid w:val="00FB77A7"/>
    <w:rsid w:val="00FC0969"/>
    <w:rsid w:val="00FC248D"/>
    <w:rsid w:val="00FC4C4C"/>
    <w:rsid w:val="00FD2AF7"/>
    <w:rsid w:val="00FD7031"/>
    <w:rsid w:val="00FE130B"/>
    <w:rsid w:val="00FE3154"/>
    <w:rsid w:val="00FE3D1C"/>
    <w:rsid w:val="00FE513C"/>
    <w:rsid w:val="00FE67D0"/>
    <w:rsid w:val="00FE7B41"/>
    <w:rsid w:val="00FF1156"/>
    <w:rsid w:val="00FF66A7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6A27-FD0F-435E-9543-2639AAB3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10</TotalTime>
  <Pages>12</Pages>
  <Words>5675</Words>
  <Characters>39163</Characters>
  <Application>Microsoft Office Word</Application>
  <DocSecurity>0</DocSecurity>
  <Lines>326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Vályi-Nagy Adrienn dr.</cp:lastModifiedBy>
  <cp:revision>9</cp:revision>
  <cp:lastPrinted>2021-05-25T13:43:00Z</cp:lastPrinted>
  <dcterms:created xsi:type="dcterms:W3CDTF">2021-05-25T13:43:00Z</dcterms:created>
  <dcterms:modified xsi:type="dcterms:W3CDTF">2021-06-09T13:18:00Z</dcterms:modified>
</cp:coreProperties>
</file>